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5BD" w:rsidRDefault="006545BD" w:rsidP="006545BD">
      <w:pPr>
        <w:jc w:val="right"/>
      </w:pPr>
      <w:r>
        <w:t>Приложение № 3</w:t>
      </w:r>
      <w:r>
        <w:br/>
        <w:t>к Постановлению Правительства</w:t>
      </w:r>
      <w:r>
        <w:br/>
        <w:t>№ 647 от 7 августа 2014 г.</w:t>
      </w:r>
    </w:p>
    <w:p w:rsidR="006545BD" w:rsidRDefault="006545BD" w:rsidP="006545BD"/>
    <w:p w:rsidR="006545BD" w:rsidRDefault="006545BD" w:rsidP="006545BD">
      <w:pPr>
        <w:jc w:val="center"/>
        <w:rPr>
          <w:b/>
          <w:bCs/>
        </w:rPr>
      </w:pPr>
      <w:r>
        <w:rPr>
          <w:b/>
          <w:bCs/>
        </w:rPr>
        <w:t>ПОЛОЖЕНИЕ</w:t>
      </w:r>
      <w:r>
        <w:rPr>
          <w:b/>
          <w:bCs/>
        </w:rPr>
        <w:br/>
        <w:t xml:space="preserve">об организации и функционировании единого окна в области выдачи </w:t>
      </w:r>
      <w:r>
        <w:rPr>
          <w:b/>
          <w:bCs/>
        </w:rPr>
        <w:br/>
        <w:t xml:space="preserve">разрешения авторизированного хозяйствующего субъекта </w:t>
      </w:r>
      <w:r>
        <w:rPr>
          <w:b/>
          <w:bCs/>
        </w:rPr>
        <w:br/>
        <w:t>и разрешения на использование упрощенных процедур</w:t>
      </w:r>
    </w:p>
    <w:p w:rsidR="006545BD" w:rsidRDefault="006545BD" w:rsidP="006545BD">
      <w:pPr>
        <w:jc w:val="center"/>
      </w:pPr>
    </w:p>
    <w:p w:rsidR="006545BD" w:rsidRPr="006545BD" w:rsidRDefault="006545BD" w:rsidP="006545BD">
      <w:pPr>
        <w:pStyle w:val="ListParagraph"/>
        <w:numPr>
          <w:ilvl w:val="0"/>
          <w:numId w:val="4"/>
        </w:numPr>
        <w:jc w:val="center"/>
        <w:rPr>
          <w:b/>
          <w:bCs/>
        </w:rPr>
      </w:pPr>
      <w:r w:rsidRPr="006545BD">
        <w:rPr>
          <w:b/>
          <w:bCs/>
        </w:rPr>
        <w:t>ОБЩИЕ ПОЛОЖЕНИЯ</w:t>
      </w:r>
    </w:p>
    <w:p w:rsidR="006545BD" w:rsidRDefault="006545BD" w:rsidP="006545BD">
      <w:pPr>
        <w:pStyle w:val="ListParagraph"/>
        <w:ind w:left="-142"/>
        <w:jc w:val="both"/>
      </w:pPr>
      <w:r>
        <w:br/>
        <w:t>    1. Настоящее Положение разработано в целях повышения эффективности и рационализации процедуры выдачи разрешения авторизованного хозяйствующего субъекта и разрешения на упрощенные процедуры таможенного оформления (в дальнейшем – разрешение).</w:t>
      </w:r>
    </w:p>
    <w:p w:rsidR="006545BD" w:rsidRDefault="006545BD" w:rsidP="006545BD">
      <w:pPr>
        <w:pStyle w:val="ListParagraph"/>
        <w:ind w:left="-142"/>
        <w:jc w:val="both"/>
      </w:pPr>
      <w:r>
        <w:br/>
        <w:t>    2. В настоящем Положении значение единого окна представляет общую платформу доступа и механизм, позволяющий ходатайствующему лицу обращаться в Таможенную службу, в обязанности которой входит обеспечение координирования действий по проверке условий выдачи разрешения согласно компетенциям, возложенным законом.</w:t>
      </w:r>
    </w:p>
    <w:p w:rsidR="006545BD" w:rsidRDefault="006545BD" w:rsidP="006545BD">
      <w:pPr>
        <w:pStyle w:val="ListParagraph"/>
        <w:ind w:left="-142"/>
        <w:jc w:val="both"/>
      </w:pPr>
      <w:r>
        <w:br/>
        <w:t>    3. Требования настоящего Положения применяются к ходатайствующим лицам/обладателям разрешения авторизованного хозяйствующего субъекта и разрешения для использования упрощенных процедур согласно положениям глав 27</w:t>
      </w:r>
      <w:r w:rsidRPr="006545BD">
        <w:rPr>
          <w:vertAlign w:val="superscript"/>
        </w:rPr>
        <w:t xml:space="preserve">1 </w:t>
      </w:r>
      <w:r>
        <w:t>и 28</w:t>
      </w:r>
      <w:r w:rsidRPr="006545BD">
        <w:rPr>
          <w:vertAlign w:val="superscript"/>
        </w:rPr>
        <w:t>1</w:t>
      </w:r>
      <w:r>
        <w:t xml:space="preserve"> Таможенного кодекса Республики Молдова.</w:t>
      </w:r>
    </w:p>
    <w:p w:rsidR="006545BD" w:rsidRDefault="006545BD" w:rsidP="006545BD">
      <w:pPr>
        <w:pStyle w:val="ListParagraph"/>
        <w:ind w:left="-142"/>
        <w:jc w:val="both"/>
      </w:pPr>
      <w:r>
        <w:br/>
        <w:t>4. Документы, необходимые для подачи заявки на выдачу разрешения посредством единого окна, предусмотрены в приложениях № 1 и 2 к настоящему постановлению.</w:t>
      </w:r>
    </w:p>
    <w:p w:rsidR="006545BD" w:rsidRDefault="006545BD" w:rsidP="006545BD">
      <w:pPr>
        <w:pStyle w:val="ListParagraph"/>
        <w:ind w:left="-142"/>
        <w:jc w:val="center"/>
        <w:rPr>
          <w:b/>
          <w:bCs/>
        </w:rPr>
      </w:pPr>
      <w:r>
        <w:br/>
        <w:t xml:space="preserve">    </w:t>
      </w:r>
      <w:r w:rsidRPr="006545BD">
        <w:rPr>
          <w:b/>
          <w:bCs/>
        </w:rPr>
        <w:t xml:space="preserve">II. </w:t>
      </w:r>
      <w:r>
        <w:rPr>
          <w:b/>
          <w:bCs/>
        </w:rPr>
        <w:t xml:space="preserve"> </w:t>
      </w:r>
      <w:r w:rsidRPr="006545BD">
        <w:rPr>
          <w:b/>
          <w:bCs/>
        </w:rPr>
        <w:t>ОРГАНИЗАЦИЯ ДЕЯТЕЛЬНОСТИ ЕДИНОГО ОКНА</w:t>
      </w:r>
    </w:p>
    <w:p w:rsidR="006545BD" w:rsidRDefault="006545BD" w:rsidP="006545BD">
      <w:pPr>
        <w:pStyle w:val="ListParagraph"/>
        <w:ind w:left="-142"/>
        <w:jc w:val="both"/>
      </w:pPr>
      <w:r>
        <w:br/>
        <w:t>    5. Деятельность единого окна организует Таможенная служба в качестве органа, ответственного за выдачу разрешений.</w:t>
      </w:r>
    </w:p>
    <w:p w:rsidR="006545BD" w:rsidRDefault="006545BD" w:rsidP="006545BD">
      <w:pPr>
        <w:pStyle w:val="ListParagraph"/>
        <w:ind w:left="-142"/>
        <w:jc w:val="both"/>
      </w:pPr>
      <w:r>
        <w:br/>
        <w:t>    6. Деятельность единого окна обеспечивается специализированным подразделением центрального аппарата Таможенной службы, назначенным приказом Таможенной службы, и осуществляется согласно программе деятельности органа.</w:t>
      </w:r>
    </w:p>
    <w:p w:rsidR="006545BD" w:rsidRDefault="006545BD" w:rsidP="006545BD">
      <w:pPr>
        <w:pStyle w:val="ListParagraph"/>
        <w:ind w:left="-142"/>
        <w:jc w:val="both"/>
      </w:pPr>
      <w:r>
        <w:br/>
        <w:t xml:space="preserve">    </w:t>
      </w:r>
      <w:r w:rsidRPr="006545BD">
        <w:rPr>
          <w:b/>
          <w:bCs/>
        </w:rPr>
        <w:t xml:space="preserve">7. </w:t>
      </w:r>
      <w:r>
        <w:t>Подразделение, ответственное за деятельность единого окна, осуществляет следующую деятельность:</w:t>
      </w:r>
    </w:p>
    <w:p w:rsidR="006545BD" w:rsidRDefault="006545BD" w:rsidP="006545BD">
      <w:pPr>
        <w:pStyle w:val="ListParagraph"/>
        <w:numPr>
          <w:ilvl w:val="0"/>
          <w:numId w:val="5"/>
        </w:numPr>
        <w:jc w:val="both"/>
      </w:pPr>
      <w:r>
        <w:t>информирует ходатайствующее лицо о процедуре представления, принятия и рассмотрения заявки на выдачу разрешения, документах, которые необходимо представить, порядке проверки условий предоставления статуса, а также процедуре выдачи разрешения согласно положениям настоящего постановления;</w:t>
      </w:r>
    </w:p>
    <w:p w:rsidR="006545BD" w:rsidRDefault="006545BD" w:rsidP="006545BD">
      <w:pPr>
        <w:pStyle w:val="ListParagraph"/>
        <w:numPr>
          <w:ilvl w:val="0"/>
          <w:numId w:val="5"/>
        </w:numPr>
        <w:jc w:val="both"/>
      </w:pPr>
      <w:r>
        <w:t>принимает заявки на предоставление статуса авторизованного хозяйствующего субъекта и упрощенных процедур;</w:t>
      </w:r>
    </w:p>
    <w:p w:rsidR="006545BD" w:rsidRDefault="006545BD" w:rsidP="006545BD">
      <w:pPr>
        <w:pStyle w:val="ListParagraph"/>
        <w:numPr>
          <w:ilvl w:val="0"/>
          <w:numId w:val="5"/>
        </w:numPr>
        <w:jc w:val="both"/>
      </w:pPr>
      <w:r>
        <w:t> проверяет правильность и комплектность заявления и сопроводительных документов;</w:t>
      </w:r>
    </w:p>
    <w:p w:rsidR="006545BD" w:rsidRDefault="006545BD" w:rsidP="006545BD">
      <w:pPr>
        <w:pStyle w:val="ListParagraph"/>
        <w:numPr>
          <w:ilvl w:val="0"/>
          <w:numId w:val="5"/>
        </w:numPr>
        <w:jc w:val="both"/>
      </w:pPr>
      <w:r>
        <w:t>информирует ходатайствующее лицо о принятии заявления или отклонении заявки на выдачу разрешения;   </w:t>
      </w:r>
    </w:p>
    <w:p w:rsidR="006545BD" w:rsidRDefault="006545BD" w:rsidP="006545BD">
      <w:pPr>
        <w:pStyle w:val="ListParagraph"/>
        <w:numPr>
          <w:ilvl w:val="0"/>
          <w:numId w:val="5"/>
        </w:numPr>
        <w:jc w:val="both"/>
      </w:pPr>
      <w:r>
        <w:t>проверяет соответствие условий предоставления разрешения;</w:t>
      </w:r>
    </w:p>
    <w:p w:rsidR="006545BD" w:rsidRDefault="006545BD" w:rsidP="006545BD">
      <w:pPr>
        <w:pStyle w:val="ListParagraph"/>
        <w:numPr>
          <w:ilvl w:val="0"/>
          <w:numId w:val="5"/>
        </w:numPr>
        <w:jc w:val="both"/>
      </w:pPr>
      <w:r>
        <w:lastRenderedPageBreak/>
        <w:t>предлагает руководству Таможенной службы на утверждение решение о выдаче разрешения АЕО или на упрощенные процедуры таможенного оформления;</w:t>
      </w:r>
    </w:p>
    <w:p w:rsidR="00B835D4" w:rsidRDefault="006545BD" w:rsidP="006545BD">
      <w:pPr>
        <w:pStyle w:val="ListParagraph"/>
        <w:numPr>
          <w:ilvl w:val="0"/>
          <w:numId w:val="5"/>
        </w:numPr>
        <w:jc w:val="both"/>
      </w:pPr>
      <w:r>
        <w:t> выдает ходатайствующему лицу разрешение либо решение об отказе»;</w:t>
      </w:r>
    </w:p>
    <w:p w:rsidR="006545BD" w:rsidRDefault="006545BD">
      <w:pPr>
        <w:pStyle w:val="ListParagraph"/>
        <w:ind w:left="-142"/>
        <w:jc w:val="both"/>
      </w:pPr>
    </w:p>
    <w:sectPr w:rsidR="006545BD" w:rsidSect="006545BD">
      <w:headerReference w:type="default" r:id="rId7"/>
      <w:footerReference w:type="default" r:id="rId8"/>
      <w:pgSz w:w="11906" w:h="16838" w:code="9"/>
      <w:pgMar w:top="993" w:right="964" w:bottom="1418" w:left="1814" w:header="709" w:footer="32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24A" w:rsidRDefault="003B524A" w:rsidP="005F6288">
      <w:r>
        <w:separator/>
      </w:r>
    </w:p>
  </w:endnote>
  <w:endnote w:type="continuationSeparator" w:id="1">
    <w:p w:rsidR="003B524A" w:rsidRDefault="003B524A" w:rsidP="005F6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50E" w:rsidRPr="008B0651" w:rsidRDefault="005F6288">
    <w:pPr>
      <w:pStyle w:val="Footer"/>
      <w:rPr>
        <w:rFonts w:ascii="Times New Roman" w:hAnsi="Times New Roman"/>
        <w:sz w:val="16"/>
        <w:szCs w:val="16"/>
        <w:lang w:val="en-US"/>
      </w:rPr>
    </w:pPr>
    <w:fldSimple w:instr=" FILENAME  \p  \* MERGEFORMAT ">
      <w:r w:rsidR="00CB6543">
        <w:rPr>
          <w:rFonts w:ascii="Times New Roman" w:hAnsi="Times New Roman"/>
          <w:noProof/>
          <w:sz w:val="16"/>
          <w:szCs w:val="16"/>
          <w:lang w:val="en-US"/>
        </w:rPr>
        <w:t>D:\MONITOR-2014\238-\TEXT\PARTEA II\647\Reg_Tamoj_pril.doc</w:t>
      </w:r>
    </w:fldSimple>
  </w:p>
  <w:p w:rsidR="00B2250E" w:rsidRPr="00CA1B2A" w:rsidRDefault="003B524A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24A" w:rsidRDefault="003B524A" w:rsidP="005F6288">
      <w:r>
        <w:separator/>
      </w:r>
    </w:p>
  </w:footnote>
  <w:footnote w:type="continuationSeparator" w:id="1">
    <w:p w:rsidR="003B524A" w:rsidRDefault="003B524A" w:rsidP="005F62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50E" w:rsidRDefault="005F6288">
    <w:pPr>
      <w:pStyle w:val="Header"/>
      <w:jc w:val="center"/>
    </w:pPr>
    <w:r>
      <w:fldChar w:fldCharType="begin"/>
    </w:r>
    <w:r w:rsidR="00CB6543">
      <w:instrText xml:space="preserve"> PAGE   \* MERGEFORMAT </w:instrText>
    </w:r>
    <w:r>
      <w:fldChar w:fldCharType="separate"/>
    </w:r>
    <w:r w:rsidR="006545BD">
      <w:rPr>
        <w:noProof/>
      </w:rPr>
      <w:t>2</w:t>
    </w:r>
    <w:r>
      <w:rPr>
        <w:noProof/>
      </w:rPr>
      <w:fldChar w:fldCharType="end"/>
    </w:r>
  </w:p>
  <w:p w:rsidR="00B2250E" w:rsidRDefault="003B52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44FF"/>
    <w:multiLevelType w:val="hybridMultilevel"/>
    <w:tmpl w:val="AF9A40F6"/>
    <w:lvl w:ilvl="0" w:tplc="79E24252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625992"/>
    <w:multiLevelType w:val="hybridMultilevel"/>
    <w:tmpl w:val="9A70241C"/>
    <w:lvl w:ilvl="0" w:tplc="8CC4D1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C4671"/>
    <w:multiLevelType w:val="hybridMultilevel"/>
    <w:tmpl w:val="B3AC54CC"/>
    <w:lvl w:ilvl="0" w:tplc="071E6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5D2DBA"/>
    <w:multiLevelType w:val="hybridMultilevel"/>
    <w:tmpl w:val="C36C80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BF296D8">
      <w:start w:val="1"/>
      <w:numFmt w:val="decimal"/>
      <w:lvlText w:val="%2)"/>
      <w:lvlJc w:val="left"/>
      <w:pPr>
        <w:ind w:left="1860" w:hanging="7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624CE8"/>
    <w:multiLevelType w:val="hybridMultilevel"/>
    <w:tmpl w:val="B308B3E4"/>
    <w:lvl w:ilvl="0" w:tplc="087E02BE">
      <w:start w:val="1"/>
      <w:numFmt w:val="decimal"/>
      <w:lvlText w:val="%1)"/>
      <w:lvlJc w:val="left"/>
      <w:pPr>
        <w:ind w:left="5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8" w:hanging="360"/>
      </w:pPr>
    </w:lvl>
    <w:lvl w:ilvl="2" w:tplc="0809001B" w:tentative="1">
      <w:start w:val="1"/>
      <w:numFmt w:val="lowerRoman"/>
      <w:lvlText w:val="%3."/>
      <w:lvlJc w:val="right"/>
      <w:pPr>
        <w:ind w:left="1988" w:hanging="180"/>
      </w:pPr>
    </w:lvl>
    <w:lvl w:ilvl="3" w:tplc="0809000F" w:tentative="1">
      <w:start w:val="1"/>
      <w:numFmt w:val="decimal"/>
      <w:lvlText w:val="%4."/>
      <w:lvlJc w:val="left"/>
      <w:pPr>
        <w:ind w:left="2708" w:hanging="360"/>
      </w:pPr>
    </w:lvl>
    <w:lvl w:ilvl="4" w:tplc="08090019" w:tentative="1">
      <w:start w:val="1"/>
      <w:numFmt w:val="lowerLetter"/>
      <w:lvlText w:val="%5."/>
      <w:lvlJc w:val="left"/>
      <w:pPr>
        <w:ind w:left="3428" w:hanging="360"/>
      </w:pPr>
    </w:lvl>
    <w:lvl w:ilvl="5" w:tplc="0809001B" w:tentative="1">
      <w:start w:val="1"/>
      <w:numFmt w:val="lowerRoman"/>
      <w:lvlText w:val="%6."/>
      <w:lvlJc w:val="right"/>
      <w:pPr>
        <w:ind w:left="4148" w:hanging="180"/>
      </w:pPr>
    </w:lvl>
    <w:lvl w:ilvl="6" w:tplc="0809000F" w:tentative="1">
      <w:start w:val="1"/>
      <w:numFmt w:val="decimal"/>
      <w:lvlText w:val="%7."/>
      <w:lvlJc w:val="left"/>
      <w:pPr>
        <w:ind w:left="4868" w:hanging="360"/>
      </w:pPr>
    </w:lvl>
    <w:lvl w:ilvl="7" w:tplc="08090019" w:tentative="1">
      <w:start w:val="1"/>
      <w:numFmt w:val="lowerLetter"/>
      <w:lvlText w:val="%8."/>
      <w:lvlJc w:val="left"/>
      <w:pPr>
        <w:ind w:left="5588" w:hanging="360"/>
      </w:pPr>
    </w:lvl>
    <w:lvl w:ilvl="8" w:tplc="0809001B" w:tentative="1">
      <w:start w:val="1"/>
      <w:numFmt w:val="lowerRoman"/>
      <w:lvlText w:val="%9."/>
      <w:lvlJc w:val="right"/>
      <w:pPr>
        <w:ind w:left="630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6543"/>
    <w:rsid w:val="003B524A"/>
    <w:rsid w:val="005F6288"/>
    <w:rsid w:val="006545BD"/>
    <w:rsid w:val="00B835D4"/>
    <w:rsid w:val="00CB6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B6543"/>
    <w:pPr>
      <w:ind w:firstLine="567"/>
      <w:jc w:val="both"/>
    </w:pPr>
  </w:style>
  <w:style w:type="paragraph" w:styleId="ListParagraph">
    <w:name w:val="List Paragraph"/>
    <w:basedOn w:val="Normal"/>
    <w:qFormat/>
    <w:rsid w:val="00CB6543"/>
    <w:pPr>
      <w:ind w:left="720"/>
    </w:pPr>
  </w:style>
  <w:style w:type="paragraph" w:styleId="Footer">
    <w:name w:val="footer"/>
    <w:basedOn w:val="Normal"/>
    <w:link w:val="FooterChar"/>
    <w:uiPriority w:val="99"/>
    <w:rsid w:val="00CB654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/>
    </w:rPr>
  </w:style>
  <w:style w:type="character" w:customStyle="1" w:styleId="FooterChar">
    <w:name w:val="Footer Char"/>
    <w:basedOn w:val="DefaultParagraphFont"/>
    <w:link w:val="Footer"/>
    <w:uiPriority w:val="99"/>
    <w:rsid w:val="00CB6543"/>
    <w:rPr>
      <w:rFonts w:ascii="Calibri" w:eastAsia="Calibri" w:hAnsi="Calibri" w:cs="Times New Roman"/>
      <w:lang/>
    </w:rPr>
  </w:style>
  <w:style w:type="paragraph" w:styleId="Header">
    <w:name w:val="header"/>
    <w:basedOn w:val="Normal"/>
    <w:link w:val="HeaderChar"/>
    <w:uiPriority w:val="99"/>
    <w:rsid w:val="00CB654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rsid w:val="00CB654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Normal"/>
    <w:qFormat/>
    <w:rsid w:val="00CB6543"/>
    <w:pPr>
      <w:ind w:left="720" w:firstLine="709"/>
      <w:contextualSpacing/>
      <w:jc w:val="both"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5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marcela.mazarenco</cp:lastModifiedBy>
  <cp:revision>2</cp:revision>
  <dcterms:created xsi:type="dcterms:W3CDTF">2014-08-15T13:24:00Z</dcterms:created>
  <dcterms:modified xsi:type="dcterms:W3CDTF">2018-02-08T12:56:00Z</dcterms:modified>
</cp:coreProperties>
</file>